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t>How to Fill In the Detailed Plan for a Small Hotel</w:t>
      </w:r>
    </w:p>
    <w:p>
      <w:pPr>
        <w:spacing w:after="160"/>
      </w:pPr>
      <w:r>
        <w:rPr>
          <w:rFonts w:ascii="Aptos" w:hAnsi="Aptos"/>
          <w:b w:val="0"/>
          <w:color w:val="2F766F"/>
          <w:sz w:val="20"/>
        </w:rPr>
        <w:t>A practical guide: what to look for, whom to contact and how to turn data into decisions</w:t>
      </w:r>
    </w:p>
    <w:tbl>
      <w:tblPr>
        <w:tblW w:type="auto" w:w="0"/>
        <w:jc w:val="center"/>
        <w:tblLook w:firstColumn="1" w:firstRow="1" w:lastColumn="0" w:lastRow="0" w:noHBand="0" w:noVBand="1" w:val="04A0"/>
      </w:tblPr>
      <w:tblGrid>
        <w:gridCol w:w="9835"/>
      </w:tblGrid>
      <w:tr>
        <w:tc>
          <w:tcPr>
            <w:tcW w:type="dxa" w:w="9835"/>
            <w:shd w:fill="EAF2F1"/>
            <w:tcMar>
              <w:top w:w="120" w:type="dxa"/>
              <w:start w:w="150" w:type="dxa"/>
              <w:bottom w:w="120" w:type="dxa"/>
              <w:end w:w="150" w:type="dxa"/>
            </w:tcMar>
          </w:tcPr>
          <w:p>
            <w:pPr>
              <w:spacing w:after="0"/>
            </w:pPr>
            <w:r>
              <w:rPr>
                <w:rFonts w:ascii="Aptos" w:hAnsi="Aptos"/>
                <w:b/>
                <w:color w:val="20384D"/>
                <w:sz w:val="18"/>
              </w:rPr>
              <w:t xml:space="preserve">Key principle  </w:t>
            </w:r>
            <w:r>
              <w:rPr>
                <w:rFonts w:ascii="Aptos" w:hAnsi="Aptos"/>
                <w:b w:val="0"/>
                <w:color w:val="24313B"/>
                <w:sz w:val="18"/>
              </w:rPr>
              <w:t>Do not try to guess a single exact figure. For every line give the source, the date and the reliability: confirmed by a document, calculated by formula, or still an assumption.</w:t>
            </w:r>
          </w:p>
        </w:tc>
      </w:tr>
    </w:tbl>
    <w:p>
      <w:pPr>
        <w:spacing w:after="0"/>
      </w:pPr>
    </w:p>
    <w:p>
      <w:pPr>
        <w:pStyle w:val="Heading1"/>
      </w:pPr>
      <w:r>
        <w:t>First choose your level</w:t>
      </w:r>
    </w:p>
    <w:tbl>
      <w:tblPr>
        <w:tblStyle w:val="TableGrid"/>
        <w:tblW w:type="auto" w:w="0"/>
        <w:jc w:val="center"/>
        <w:tblLayout w:type="fixed"/>
        <w:tblLook w:firstColumn="1" w:firstRow="1" w:lastColumn="0" w:lastRow="0" w:noHBand="0" w:noVBand="1" w:val="04A0"/>
      </w:tblPr>
      <w:tblGrid>
        <w:gridCol w:w="4917"/>
        <w:gridCol w:w="4917"/>
      </w:tblGrid>
      <w:tr>
        <w:tc>
          <w:tcPr>
            <w:tcW w:type="dxa" w:w="3240"/>
            <w:shd w:fill="20384D"/>
            <w:tcMar>
              <w:top w:w="90" w:type="dxa"/>
              <w:start w:w="110" w:type="dxa"/>
              <w:bottom w:w="90" w:type="dxa"/>
              <w:end w:w="110" w:type="dxa"/>
            </w:tcMar>
          </w:tcPr>
          <w:p>
            <w:pPr>
              <w:spacing w:after="0"/>
            </w:pPr>
            <w:r>
              <w:rPr>
                <w:rFonts w:ascii="Aptos" w:hAnsi="Aptos"/>
                <w:b/>
                <w:color w:val="FFFFFF"/>
                <w:sz w:val="18"/>
              </w:rPr>
              <w:t>If you want to…</w:t>
            </w:r>
          </w:p>
        </w:tc>
        <w:tc>
          <w:tcPr>
            <w:tcW w:type="dxa" w:w="7200"/>
            <w:shd w:fill="20384D"/>
            <w:tcMar>
              <w:top w:w="90" w:type="dxa"/>
              <w:start w:w="110" w:type="dxa"/>
              <w:bottom w:w="90" w:type="dxa"/>
              <w:end w:w="110" w:type="dxa"/>
            </w:tcMar>
          </w:tcPr>
          <w:p>
            <w:pPr>
              <w:spacing w:after="0"/>
            </w:pPr>
            <w:r>
              <w:rPr>
                <w:rFonts w:ascii="Aptos" w:hAnsi="Aptos"/>
                <w:b/>
                <w:color w:val="FFFFFF"/>
                <w:sz w:val="18"/>
              </w:rPr>
              <w:t>Start with…</w:t>
            </w:r>
          </w:p>
        </w:tc>
      </w:tr>
      <w:tr>
        <w:tc>
          <w:tcPr>
            <w:tcW w:type="dxa" w:w="3240"/>
            <w:vAlign w:val="center"/>
            <w:tcMar>
              <w:top w:w="90" w:type="dxa"/>
              <w:start w:w="110" w:type="dxa"/>
              <w:bottom w:w="90" w:type="dxa"/>
              <w:end w:w="110" w:type="dxa"/>
            </w:tcMar>
          </w:tcPr>
          <w:p>
            <w:pPr>
              <w:spacing w:after="0"/>
            </w:pPr>
            <w:r>
              <w:rPr>
                <w:rFonts w:ascii="Aptos" w:hAnsi="Aptos"/>
                <w:b w:val="0"/>
                <w:color w:val="24313B"/>
                <w:sz w:val="18"/>
              </w:rPr>
              <w:t>Quickly check the idea</w:t>
            </w:r>
          </w:p>
        </w:tc>
        <w:tc>
          <w:tcPr>
            <w:tcW w:type="dxa" w:w="7200"/>
            <w:vAlign w:val="center"/>
            <w:tcMar>
              <w:top w:w="90" w:type="dxa"/>
              <w:start w:w="110" w:type="dxa"/>
              <w:bottom w:w="90" w:type="dxa"/>
              <w:end w:w="110" w:type="dxa"/>
            </w:tcMar>
          </w:tcPr>
          <w:p>
            <w:pPr>
              <w:spacing w:after="0"/>
            </w:pPr>
            <w:r>
              <w:rPr>
                <w:rFonts w:ascii="Aptos" w:hAnsi="Aptos"/>
                <w:b w:val="0"/>
                <w:color w:val="24313B"/>
                <w:sz w:val="18"/>
              </w:rPr>
              <w:t>The one-page sheet: location, future guest, demand, costs, investment and decision.</w:t>
            </w:r>
          </w:p>
        </w:tc>
      </w:tr>
      <w:tr>
        <w:tc>
          <w:tcPr>
            <w:tcW w:type="dxa" w:w="3240"/>
            <w:vAlign w:val="center"/>
            <w:tcMar>
              <w:top w:w="90" w:type="dxa"/>
              <w:start w:w="110" w:type="dxa"/>
              <w:bottom w:w="90" w:type="dxa"/>
              <w:end w:w="110" w:type="dxa"/>
            </w:tcMar>
            <w:shd w:fill="F3F6F8"/>
          </w:tcPr>
          <w:p>
            <w:pPr>
              <w:spacing w:after="0"/>
            </w:pPr>
            <w:r>
              <w:rPr>
                <w:rFonts w:ascii="Aptos" w:hAnsi="Aptos"/>
                <w:b w:val="0"/>
                <w:color w:val="24313B"/>
                <w:sz w:val="18"/>
              </w:rPr>
              <w:t>Understand monthly profitability</w:t>
            </w:r>
          </w:p>
        </w:tc>
        <w:tc>
          <w:tcPr>
            <w:tcW w:type="dxa" w:w="7200"/>
            <w:vAlign w:val="center"/>
            <w:tcMar>
              <w:top w:w="90" w:type="dxa"/>
              <w:start w:w="110" w:type="dxa"/>
              <w:bottom w:w="90" w:type="dxa"/>
              <w:end w:w="110" w:type="dxa"/>
            </w:tcMar>
            <w:shd w:fill="F3F6F8"/>
          </w:tcPr>
          <w:p>
            <w:pPr>
              <w:spacing w:after="0"/>
            </w:pPr>
            <w:r>
              <w:rPr>
                <w:rFonts w:ascii="Aptos" w:hAnsi="Aptos"/>
                <w:b w:val="0"/>
                <w:color w:val="24313B"/>
                <w:sz w:val="18"/>
              </w:rPr>
              <w:t>The P&amp;L forecast and the cash plan. First fill in the expected occupancy and price for each month.</w:t>
            </w:r>
          </w:p>
        </w:tc>
      </w:tr>
      <w:tr>
        <w:tc>
          <w:tcPr>
            <w:tcW w:type="dxa" w:w="3240"/>
            <w:vAlign w:val="center"/>
            <w:tcMar>
              <w:top w:w="90" w:type="dxa"/>
              <w:start w:w="110" w:type="dxa"/>
              <w:bottom w:w="90" w:type="dxa"/>
              <w:end w:w="110" w:type="dxa"/>
            </w:tcMar>
          </w:tcPr>
          <w:p>
            <w:pPr>
              <w:spacing w:after="0"/>
            </w:pPr>
            <w:r>
              <w:rPr>
                <w:rFonts w:ascii="Aptos" w:hAnsi="Aptos"/>
                <w:b w:val="0"/>
                <w:color w:val="24313B"/>
                <w:sz w:val="18"/>
              </w:rPr>
              <w:t>Prepare the project for a lender / partner</w:t>
            </w:r>
          </w:p>
        </w:tc>
        <w:tc>
          <w:tcPr>
            <w:tcW w:type="dxa" w:w="7200"/>
            <w:vAlign w:val="center"/>
            <w:tcMar>
              <w:top w:w="90" w:type="dxa"/>
              <w:start w:w="110" w:type="dxa"/>
              <w:bottom w:w="90" w:type="dxa"/>
              <w:end w:w="110" w:type="dxa"/>
            </w:tcMar>
          </w:tcPr>
          <w:p>
            <w:pPr>
              <w:spacing w:after="0"/>
            </w:pPr>
            <w:r>
              <w:rPr>
                <w:rFonts w:ascii="Aptos" w:hAnsi="Aptos"/>
                <w:b w:val="0"/>
                <w:color w:val="24313B"/>
                <w:sz w:val="18"/>
              </w:rPr>
              <w:t>The detailed business plan, confirmed estimates, legal and technical due diligence and a model built to the recipient’s requirements.</w:t>
            </w:r>
          </w:p>
        </w:tc>
      </w:tr>
    </w:tbl>
    <w:p>
      <w:pPr>
        <w:pStyle w:val="Heading1"/>
      </w:pPr>
      <w:r>
        <w:t>1. Who will stay and why</w:t>
      </w:r>
    </w:p>
    <w:p>
      <w:r>
        <w:t>Do not write “tourists” as your only target audience. Choose several likely guest types: for example, families on holiday, couples on a short trip, skiers, business travellers, guided groups. At first this is a hypothesis. For each group write down the purpose of the trip, length of stay, budget, season, important amenities and how this person will learn about the hotel.</w:t>
      </w:r>
    </w:p>
    <w:p>
      <w:r>
        <w:t>Check whether the group matches the location. In an old town, walkability and short trips matter; on the coast, the season and holiday conditions; at a mountain resort, winter logistics and equipment storage. Do not promise a service if the property cannot deliver it consistently.</w:t>
      </w:r>
    </w:p>
    <w:p>
      <w:pPr>
        <w:pStyle w:val="Heading1"/>
      </w:pPr>
      <w:r>
        <w:t>2. How to collect local demand data</w:t>
      </w:r>
    </w:p>
    <w:p>
      <w:r>
        <w:t>Start with statistics for your region and district, not with the national total. Find the local tourism department or the municipality’s tourism unit and request:</w:t>
      </w:r>
    </w:p>
    <w:p>
      <w:pPr>
        <w:pStyle w:val="ListBullet"/>
        <w:spacing w:after="40"/>
      </w:pPr>
      <w:r>
        <w:rPr>
          <w:rFonts w:ascii="Aptos" w:hAnsi="Aptos"/>
          <w:b w:val="0"/>
          <w:color w:val="24313B"/>
          <w:sz w:val="19"/>
        </w:rPr>
        <w:t>the number of visitors over the last two or three full years and the year-on-year change;</w:t>
      </w:r>
    </w:p>
    <w:p>
      <w:pPr>
        <w:pStyle w:val="ListBullet"/>
        <w:spacing w:after="40"/>
      </w:pPr>
      <w:r>
        <w:rPr>
          <w:rFonts w:ascii="Aptos" w:hAnsi="Aptos"/>
          <w:b w:val="0"/>
          <w:color w:val="24313B"/>
          <w:sz w:val="19"/>
        </w:rPr>
        <w:t>a monthly breakdown, or at least the strong and weak seasons;</w:t>
      </w:r>
    </w:p>
    <w:p>
      <w:pPr>
        <w:pStyle w:val="ListBullet"/>
        <w:spacing w:after="40"/>
      </w:pPr>
      <w:r>
        <w:rPr>
          <w:rFonts w:ascii="Aptos" w:hAnsi="Aptos"/>
          <w:b w:val="0"/>
          <w:color w:val="24313B"/>
          <w:sz w:val="19"/>
        </w:rPr>
        <w:t>guests’ countries of origin, if that level of detail is collected;</w:t>
      </w:r>
    </w:p>
    <w:p>
      <w:pPr>
        <w:pStyle w:val="ListBullet"/>
        <w:spacing w:after="40"/>
      </w:pPr>
      <w:r>
        <w:rPr>
          <w:rFonts w:ascii="Aptos" w:hAnsi="Aptos"/>
          <w:b w:val="0"/>
          <w:color w:val="24313B"/>
          <w:sz w:val="19"/>
        </w:rPr>
        <w:t>what exactly is counted: an arriving tourist, a trip, an overnight visitor or a hotel guest;</w:t>
      </w:r>
    </w:p>
    <w:p>
      <w:pPr>
        <w:pStyle w:val="ListBullet"/>
        <w:spacing w:after="40"/>
      </w:pPr>
      <w:r>
        <w:rPr>
          <w:rFonts w:ascii="Aptos" w:hAnsi="Aptos"/>
          <w:b w:val="0"/>
          <w:color w:val="24313B"/>
          <w:sz w:val="19"/>
        </w:rPr>
        <w:t>a link to the methodology and the date the data was last updated.</w:t>
      </w:r>
    </w:p>
    <w:p>
      <w:r>
        <w:t>If the municipality has no statistics, ask which agency keeps them. Cross-check the answer with Geostat: the portal shows hotel and tourism trip indicators at the regional level, but the detail does not always match your town. National and regional statistics show the background, not your future occupancy.</w:t>
      </w:r>
    </w:p>
    <w:p>
      <w:r>
        <w:t>For analysis with AI, upload the official report or table and set the task: “Compare the number of visitors in region X for years A, B and C; show growth/decline, peak months and countries of origin if available. Give the source for every figure and list separately what this data does not tell us about demand for a small hotel.” Re-check the numbers against the primary source. Do not treat the AI’s answer as independent market research.</w:t>
      </w:r>
    </w:p>
    <w:p>
      <w:pPr>
        <w:pStyle w:val="Heading1"/>
      </w:pPr>
      <w:r>
        <w:t>3. How to assess competitors without complex research</w:t>
      </w:r>
    </w:p>
    <w:p>
      <w:r>
        <w:t>Make a list of 10–15 accommodation options nearby: small hotels, guesthouses, apartments. Search via maps and booking platforms. For the same dates and number of guests write down the price, breakfast, room type, cancellation policy, amenities and reviews. Repeat the check for winter, the shoulder season and the peak month. A listed price is not proof that the room was sold; it only shows the competitor’s offer.</w:t>
      </w:r>
    </w:p>
    <w:p>
      <w:r>
        <w:t>In recent reviews look for recurring complaints and praise: noise, cleanliness, breakfast, parking, staff, heating, view, location. This helps you find a real difference that guests will choose your property for. Also ask a few local guides, drivers, cafés and tour operators what their clients ask for and what the area lacks.</w:t>
      </w:r>
    </w:p>
    <w:p>
      <w:pPr>
        <w:pStyle w:val="Heading1"/>
      </w:pPr>
      <w:r>
        <w:t>4. How to turn demand into a revenue forecast</w:t>
      </w:r>
    </w:p>
    <w:p>
      <w:r>
        <w:t>Calculate by month. For each month state how many rooms you can realistically sell, how many days the property is open, the occupancy rate and the average price of a room actually sold. Formula: room revenue = sellable rooms × days × occupancy × price. Do not use a single occupancy rate for the whole year if demand is seasonal.</w:t>
      </w:r>
    </w:p>
    <w:p>
      <w:r>
        <w:t>Build three sets of assumptions: cautious, base and upside. For each one state exactly what has to happen. For example, a late opening and weaker sales are the cautious case; confirmed dates and verified prices are the base case. The upside case should not simply be “everything is better”: write specifically which partner, group or sales channel delivers it.</w:t>
      </w:r>
    </w:p>
    <w:p>
      <w:pPr>
        <w:pStyle w:val="Heading1"/>
      </w:pPr>
      <w:r>
        <w:t>5. How to build a sales plan by channel</w:t>
      </w:r>
    </w:p>
    <w:p>
      <w:r>
        <w:t>Financial scenarios and the sales strategy are different parts of the plan. For sales keep a separate table: guest segment × month × channel × price/commission × owner × target result. Do not treat the share of Booking or any other channel as a law of the market: collect data on competitors, test your offer and recalculate based on actual bookings.</w:t>
      </w:r>
    </w:p>
    <w:tbl>
      <w:tblPr>
        <w:tblStyle w:val="TableGrid"/>
        <w:tblW w:type="auto" w:w="0"/>
        <w:jc w:val="center"/>
        <w:tblLayout w:type="fixed"/>
        <w:tblLook w:firstColumn="1" w:firstRow="1" w:lastColumn="0" w:lastRow="0" w:noHBand="0" w:noVBand="1" w:val="04A0"/>
      </w:tblPr>
      <w:tblGrid>
        <w:gridCol w:w="3278"/>
        <w:gridCol w:w="3278"/>
        <w:gridCol w:w="3278"/>
      </w:tblGrid>
      <w:tr>
        <w:tc>
          <w:tcPr>
            <w:tcW w:type="dxa" w:w="1944"/>
            <w:shd w:fill="20384D"/>
            <w:tcMar>
              <w:top w:w="90" w:type="dxa"/>
              <w:start w:w="110" w:type="dxa"/>
              <w:bottom w:w="90" w:type="dxa"/>
              <w:end w:w="110" w:type="dxa"/>
            </w:tcMar>
          </w:tcPr>
          <w:p>
            <w:pPr>
              <w:spacing w:after="0"/>
            </w:pPr>
            <w:r>
              <w:rPr>
                <w:rFonts w:ascii="Aptos" w:hAnsi="Aptos"/>
                <w:b/>
                <w:color w:val="FFFFFF"/>
                <w:sz w:val="16"/>
              </w:rPr>
              <w:t>Channel</w:t>
            </w:r>
          </w:p>
        </w:tc>
        <w:tc>
          <w:tcPr>
            <w:tcW w:type="dxa" w:w="5256"/>
            <w:shd w:fill="20384D"/>
            <w:tcMar>
              <w:top w:w="90" w:type="dxa"/>
              <w:start w:w="110" w:type="dxa"/>
              <w:bottom w:w="90" w:type="dxa"/>
              <w:end w:w="110" w:type="dxa"/>
            </w:tcMar>
          </w:tcPr>
          <w:p>
            <w:pPr>
              <w:spacing w:after="0"/>
            </w:pPr>
            <w:r>
              <w:rPr>
                <w:rFonts w:ascii="Aptos" w:hAnsi="Aptos"/>
                <w:b/>
                <w:color w:val="FFFFFF"/>
                <w:sz w:val="16"/>
              </w:rPr>
              <w:t>What to do before opening</w:t>
            </w:r>
          </w:p>
        </w:tc>
        <w:tc>
          <w:tcPr>
            <w:tcW w:type="dxa" w:w="3240"/>
            <w:shd w:fill="20384D"/>
            <w:tcMar>
              <w:top w:w="90" w:type="dxa"/>
              <w:start w:w="110" w:type="dxa"/>
              <w:bottom w:w="90" w:type="dxa"/>
              <w:end w:w="110" w:type="dxa"/>
            </w:tcMar>
          </w:tcPr>
          <w:p>
            <w:pPr>
              <w:spacing w:after="0"/>
            </w:pPr>
            <w:r>
              <w:rPr>
                <w:rFonts w:ascii="Aptos" w:hAnsi="Aptos"/>
                <w:b/>
                <w:color w:val="FFFFFF"/>
                <w:sz w:val="16"/>
              </w:rPr>
              <w:t>What to measure</w:t>
            </w:r>
          </w:p>
        </w:tc>
      </w:tr>
      <w:tr>
        <w:tc>
          <w:tcPr>
            <w:tcW w:type="dxa" w:w="1944"/>
            <w:vAlign w:val="center"/>
            <w:tcMar>
              <w:top w:w="90" w:type="dxa"/>
              <w:start w:w="110" w:type="dxa"/>
              <w:bottom w:w="90" w:type="dxa"/>
              <w:end w:w="110" w:type="dxa"/>
            </w:tcMar>
          </w:tcPr>
          <w:p>
            <w:pPr>
              <w:spacing w:after="0"/>
            </w:pPr>
            <w:r>
              <w:rPr>
                <w:rFonts w:ascii="Aptos" w:hAnsi="Aptos"/>
                <w:b w:val="0"/>
                <w:color w:val="24313B"/>
                <w:sz w:val="16"/>
              </w:rPr>
              <w:t>Booking platforms</w:t>
            </w:r>
          </w:p>
        </w:tc>
        <w:tc>
          <w:tcPr>
            <w:tcW w:type="dxa" w:w="5256"/>
            <w:vAlign w:val="center"/>
            <w:tcMar>
              <w:top w:w="90" w:type="dxa"/>
              <w:start w:w="110" w:type="dxa"/>
              <w:bottom w:w="90" w:type="dxa"/>
              <w:end w:w="110" w:type="dxa"/>
            </w:tcMar>
          </w:tcPr>
          <w:p>
            <w:pPr>
              <w:spacing w:after="0"/>
            </w:pPr>
            <w:r>
              <w:rPr>
                <w:rFonts w:ascii="Aptos" w:hAnsi="Aptos"/>
                <w:b w:val="0"/>
                <w:color w:val="24313B"/>
                <w:sz w:val="16"/>
              </w:rPr>
              <w:t>Strong photos, accurate description, availability, terms and replies to reviews. Compare commissions and payouts.</w:t>
            </w:r>
          </w:p>
        </w:tc>
        <w:tc>
          <w:tcPr>
            <w:tcW w:type="dxa" w:w="3240"/>
            <w:vAlign w:val="center"/>
            <w:tcMar>
              <w:top w:w="90" w:type="dxa"/>
              <w:start w:w="110" w:type="dxa"/>
              <w:bottom w:w="90" w:type="dxa"/>
              <w:end w:w="110" w:type="dxa"/>
            </w:tcMar>
          </w:tcPr>
          <w:p>
            <w:pPr>
              <w:spacing w:after="0"/>
            </w:pPr>
            <w:r>
              <w:rPr>
                <w:rFonts w:ascii="Aptos" w:hAnsi="Aptos"/>
                <w:b w:val="0"/>
                <w:color w:val="24313B"/>
                <w:sz w:val="16"/>
              </w:rPr>
              <w:t>Share of bookings, commission, cancellations, average price.</w:t>
            </w:r>
          </w:p>
        </w:tc>
      </w:tr>
      <w:tr>
        <w:tc>
          <w:tcPr>
            <w:tcW w:type="dxa" w:w="1944"/>
            <w:vAlign w:val="center"/>
            <w:tcMar>
              <w:top w:w="90" w:type="dxa"/>
              <w:start w:w="110" w:type="dxa"/>
              <w:bottom w:w="90" w:type="dxa"/>
              <w:end w:w="110" w:type="dxa"/>
            </w:tcMar>
            <w:shd w:fill="F3F6F8"/>
          </w:tcPr>
          <w:p>
            <w:pPr>
              <w:spacing w:after="0"/>
            </w:pPr>
            <w:r>
              <w:rPr>
                <w:rFonts w:ascii="Aptos" w:hAnsi="Aptos"/>
                <w:b w:val="0"/>
                <w:color w:val="24313B"/>
                <w:sz w:val="16"/>
              </w:rPr>
              <w:t>Website and direct enquiries</w:t>
            </w:r>
          </w:p>
        </w:tc>
        <w:tc>
          <w:tcPr>
            <w:tcW w:type="dxa" w:w="5256"/>
            <w:vAlign w:val="center"/>
            <w:tcMar>
              <w:top w:w="90" w:type="dxa"/>
              <w:start w:w="110" w:type="dxa"/>
              <w:bottom w:w="90" w:type="dxa"/>
              <w:end w:w="110" w:type="dxa"/>
            </w:tcMar>
            <w:shd w:fill="F3F6F8"/>
          </w:tcPr>
          <w:p>
            <w:pPr>
              <w:spacing w:after="0"/>
            </w:pPr>
            <w:r>
              <w:rPr>
                <w:rFonts w:ascii="Aptos" w:hAnsi="Aptos"/>
                <w:b w:val="0"/>
                <w:color w:val="24313B"/>
                <w:sz w:val="16"/>
              </w:rPr>
              <w:t>Clearly describe the advantages, rooms, location, terms and contacts; check the mobile version and the booking flow.</w:t>
            </w:r>
          </w:p>
        </w:tc>
        <w:tc>
          <w:tcPr>
            <w:tcW w:type="dxa" w:w="3240"/>
            <w:vAlign w:val="center"/>
            <w:tcMar>
              <w:top w:w="90" w:type="dxa"/>
              <w:start w:w="110" w:type="dxa"/>
              <w:bottom w:w="90" w:type="dxa"/>
              <w:end w:w="110" w:type="dxa"/>
            </w:tcMar>
            <w:shd w:fill="F3F6F8"/>
          </w:tcPr>
          <w:p>
            <w:pPr>
              <w:spacing w:after="0"/>
            </w:pPr>
            <w:r>
              <w:rPr>
                <w:rFonts w:ascii="Aptos" w:hAnsi="Aptos"/>
                <w:b w:val="0"/>
                <w:color w:val="24313B"/>
                <w:sz w:val="16"/>
              </w:rPr>
              <w:t>Direct enquiries, conversion, cost per sale.</w:t>
            </w:r>
          </w:p>
        </w:tc>
      </w:tr>
      <w:tr>
        <w:tc>
          <w:tcPr>
            <w:tcW w:type="dxa" w:w="1944"/>
            <w:vAlign w:val="center"/>
            <w:tcMar>
              <w:top w:w="90" w:type="dxa"/>
              <w:start w:w="110" w:type="dxa"/>
              <w:bottom w:w="90" w:type="dxa"/>
              <w:end w:w="110" w:type="dxa"/>
            </w:tcMar>
          </w:tcPr>
          <w:p>
            <w:pPr>
              <w:spacing w:after="0"/>
            </w:pPr>
            <w:r>
              <w:rPr>
                <w:rFonts w:ascii="Aptos" w:hAnsi="Aptos"/>
                <w:b w:val="0"/>
                <w:color w:val="24313B"/>
                <w:sz w:val="16"/>
              </w:rPr>
              <w:t>Agencies and tour operators</w:t>
            </w:r>
          </w:p>
        </w:tc>
        <w:tc>
          <w:tcPr>
            <w:tcW w:type="dxa" w:w="5256"/>
            <w:vAlign w:val="center"/>
            <w:tcMar>
              <w:top w:w="90" w:type="dxa"/>
              <w:start w:w="110" w:type="dxa"/>
              <w:bottom w:w="90" w:type="dxa"/>
              <w:end w:w="110" w:type="dxa"/>
            </w:tcMar>
          </w:tcPr>
          <w:p>
            <w:pPr>
              <w:spacing w:after="0"/>
            </w:pPr>
            <w:r>
              <w:rPr>
                <w:rFonts w:ascii="Aptos" w:hAnsi="Aptos"/>
                <w:b w:val="0"/>
                <w:color w:val="24313B"/>
                <w:sz w:val="16"/>
              </w:rPr>
              <w:t>Make a list by target market; offer group terms and seasonal dates; confirm agreements in writing.</w:t>
            </w:r>
          </w:p>
        </w:tc>
        <w:tc>
          <w:tcPr>
            <w:tcW w:type="dxa" w:w="3240"/>
            <w:vAlign w:val="center"/>
            <w:tcMar>
              <w:top w:w="90" w:type="dxa"/>
              <w:start w:w="110" w:type="dxa"/>
              <w:bottom w:w="90" w:type="dxa"/>
              <w:end w:w="110" w:type="dxa"/>
            </w:tcMar>
          </w:tcPr>
          <w:p>
            <w:pPr>
              <w:spacing w:after="0"/>
            </w:pPr>
            <w:r>
              <w:rPr>
                <w:rFonts w:ascii="Aptos" w:hAnsi="Aptos"/>
                <w:b w:val="0"/>
                <w:color w:val="24313B"/>
                <w:sz w:val="16"/>
              </w:rPr>
              <w:t>Enquiries, confirmed groups, commission/net rate.</w:t>
            </w:r>
          </w:p>
        </w:tc>
      </w:tr>
      <w:tr>
        <w:tc>
          <w:tcPr>
            <w:tcW w:type="dxa" w:w="1944"/>
            <w:vAlign w:val="center"/>
            <w:tcMar>
              <w:top w:w="90" w:type="dxa"/>
              <w:start w:w="110" w:type="dxa"/>
              <w:bottom w:w="90" w:type="dxa"/>
              <w:end w:w="110" w:type="dxa"/>
            </w:tcMar>
            <w:shd w:fill="F3F6F8"/>
          </w:tcPr>
          <w:p>
            <w:pPr>
              <w:spacing w:after="0"/>
            </w:pPr>
            <w:r>
              <w:rPr>
                <w:rFonts w:ascii="Aptos" w:hAnsi="Aptos"/>
                <w:b w:val="0"/>
                <w:color w:val="24313B"/>
                <w:sz w:val="16"/>
              </w:rPr>
              <w:t>Companies and local partners</w:t>
            </w:r>
          </w:p>
        </w:tc>
        <w:tc>
          <w:tcPr>
            <w:tcW w:type="dxa" w:w="5256"/>
            <w:vAlign w:val="center"/>
            <w:tcMar>
              <w:top w:w="90" w:type="dxa"/>
              <w:start w:w="110" w:type="dxa"/>
              <w:bottom w:w="90" w:type="dxa"/>
              <w:end w:w="110" w:type="dxa"/>
            </w:tcMar>
            <w:shd w:fill="F3F6F8"/>
          </w:tcPr>
          <w:p>
            <w:pPr>
              <w:spacing w:after="0"/>
            </w:pPr>
            <w:r>
              <w:rPr>
                <w:rFonts w:ascii="Aptos" w:hAnsi="Aptos"/>
                <w:b w:val="0"/>
                <w:color w:val="24313B"/>
                <w:sz w:val="16"/>
              </w:rPr>
              <w:t>Contact employers, event organisers, clinics, guides and transport companies if they fit your location.</w:t>
            </w:r>
          </w:p>
        </w:tc>
        <w:tc>
          <w:tcPr>
            <w:tcW w:type="dxa" w:w="3240"/>
            <w:vAlign w:val="center"/>
            <w:tcMar>
              <w:top w:w="90" w:type="dxa"/>
              <w:start w:w="110" w:type="dxa"/>
              <w:bottom w:w="90" w:type="dxa"/>
              <w:end w:w="110" w:type="dxa"/>
            </w:tcMar>
            <w:shd w:fill="F3F6F8"/>
          </w:tcPr>
          <w:p>
            <w:pPr>
              <w:spacing w:after="0"/>
            </w:pPr>
            <w:r>
              <w:rPr>
                <w:rFonts w:ascii="Aptos" w:hAnsi="Aptos"/>
                <w:b w:val="0"/>
                <w:color w:val="24313B"/>
                <w:sz w:val="16"/>
              </w:rPr>
              <w:t>Contracts, nights, season, actual payments.</w:t>
            </w:r>
          </w:p>
        </w:tc>
      </w:tr>
    </w:tbl>
    <w:p>
      <w:r>
        <w:t>Online search and recommendations are changing, including AI-based tools. Do not build the plan on a prediction that one service will disappear tomorrow or become the main one. Reduce dependence on a single intermediary: keep your data on platforms up to date, run a clear website of your own, maintain direct contact and relationships with agencies. A website gives you control over the detailed description, but by itself it does not guarantee traffic or bookings.</w:t>
      </w:r>
    </w:p>
    <w:p>
      <w:pPr>
        <w:pStyle w:val="Heading1"/>
      </w:pPr>
      <w:r>
        <w:t>6. How not to forget costs</w:t>
      </w:r>
    </w:p>
    <w:p>
      <w:r>
        <w:t>Fill in costs line by line and ask every supplier for the full price: what is included, which taxes and commissions apply, what is paid separately, when payment is due and in which currency. For the launch collect written estimates for renovation, furniture, equipment, utility connections, software, training and pre-opening marketing.</w:t>
      </w:r>
    </w:p>
    <w:tbl>
      <w:tblPr>
        <w:tblStyle w:val="TableGrid"/>
        <w:tblW w:type="auto" w:w="0"/>
        <w:jc w:val="center"/>
        <w:tblLayout w:type="fixed"/>
        <w:tblLook w:firstColumn="1" w:firstRow="1" w:lastColumn="0" w:lastRow="0" w:noHBand="0" w:noVBand="1" w:val="04A0"/>
      </w:tblPr>
      <w:tblGrid>
        <w:gridCol w:w="4917"/>
        <w:gridCol w:w="4917"/>
      </w:tblGrid>
      <w:tr>
        <w:tc>
          <w:tcPr>
            <w:tcW w:type="dxa" w:w="5112"/>
            <w:shd w:fill="20384D"/>
            <w:tcMar>
              <w:top w:w="90" w:type="dxa"/>
              <w:start w:w="110" w:type="dxa"/>
              <w:bottom w:w="90" w:type="dxa"/>
              <w:end w:w="110" w:type="dxa"/>
            </w:tcMar>
          </w:tcPr>
          <w:p>
            <w:pPr>
              <w:spacing w:after="0"/>
            </w:pPr>
            <w:r>
              <w:rPr>
                <w:rFonts w:ascii="Aptos" w:hAnsi="Aptos"/>
                <w:b/>
                <w:color w:val="FFFFFF"/>
                <w:sz w:val="17"/>
              </w:rPr>
              <w:t>For every cost line record</w:t>
            </w:r>
          </w:p>
        </w:tc>
        <w:tc>
          <w:tcPr>
            <w:tcW w:type="dxa" w:w="5328"/>
            <w:shd w:fill="20384D"/>
            <w:tcMar>
              <w:top w:w="90" w:type="dxa"/>
              <w:start w:w="110" w:type="dxa"/>
              <w:bottom w:w="90" w:type="dxa"/>
              <w:end w:w="110" w:type="dxa"/>
            </w:tcMar>
          </w:tcPr>
          <w:p>
            <w:pPr>
              <w:spacing w:after="0"/>
            </w:pPr>
            <w:r>
              <w:rPr>
                <w:rFonts w:ascii="Aptos" w:hAnsi="Aptos"/>
                <w:b/>
                <w:color w:val="FFFFFF"/>
                <w:sz w:val="17"/>
              </w:rPr>
              <w:t>Why</w:t>
            </w:r>
          </w:p>
        </w:tc>
      </w:tr>
      <w:tr>
        <w:tc>
          <w:tcPr>
            <w:tcW w:type="dxa" w:w="5112"/>
            <w:vAlign w:val="center"/>
            <w:tcMar>
              <w:top w:w="90" w:type="dxa"/>
              <w:start w:w="110" w:type="dxa"/>
              <w:bottom w:w="90" w:type="dxa"/>
              <w:end w:w="110" w:type="dxa"/>
            </w:tcMar>
          </w:tcPr>
          <w:p>
            <w:pPr>
              <w:spacing w:after="0"/>
            </w:pPr>
            <w:r>
              <w:rPr>
                <w:rFonts w:ascii="Aptos" w:hAnsi="Aptos"/>
                <w:b w:val="0"/>
                <w:color w:val="24313B"/>
                <w:sz w:val="17"/>
              </w:rPr>
              <w:t>Amount, unit and period</w:t>
            </w:r>
          </w:p>
        </w:tc>
        <w:tc>
          <w:tcPr>
            <w:tcW w:type="dxa" w:w="5328"/>
            <w:vAlign w:val="center"/>
            <w:tcMar>
              <w:top w:w="90" w:type="dxa"/>
              <w:start w:w="110" w:type="dxa"/>
              <w:bottom w:w="90" w:type="dxa"/>
              <w:end w:w="110" w:type="dxa"/>
            </w:tcMar>
          </w:tcPr>
          <w:p>
            <w:pPr>
              <w:spacing w:after="0"/>
            </w:pPr>
            <w:r>
              <w:rPr>
                <w:rFonts w:ascii="Aptos" w:hAnsi="Aptos"/>
                <w:b w:val="0"/>
                <w:color w:val="24313B"/>
                <w:sz w:val="17"/>
              </w:rPr>
              <w:t>So you do not confuse a one-off repair with a monthly bill.</w:t>
            </w:r>
          </w:p>
        </w:tc>
      </w:tr>
      <w:tr>
        <w:tc>
          <w:tcPr>
            <w:tcW w:type="dxa" w:w="5112"/>
            <w:vAlign w:val="center"/>
            <w:tcMar>
              <w:top w:w="90" w:type="dxa"/>
              <w:start w:w="110" w:type="dxa"/>
              <w:bottom w:w="90" w:type="dxa"/>
              <w:end w:w="110" w:type="dxa"/>
            </w:tcMar>
            <w:shd w:fill="F3F6F8"/>
          </w:tcPr>
          <w:p>
            <w:pPr>
              <w:spacing w:after="0"/>
            </w:pPr>
            <w:r>
              <w:rPr>
                <w:rFonts w:ascii="Aptos" w:hAnsi="Aptos"/>
                <w:b w:val="0"/>
                <w:color w:val="24313B"/>
                <w:sz w:val="17"/>
              </w:rPr>
              <w:t>Source and date</w:t>
            </w:r>
          </w:p>
        </w:tc>
        <w:tc>
          <w:tcPr>
            <w:tcW w:type="dxa" w:w="5328"/>
            <w:vAlign w:val="center"/>
            <w:tcMar>
              <w:top w:w="90" w:type="dxa"/>
              <w:start w:w="110" w:type="dxa"/>
              <w:bottom w:w="90" w:type="dxa"/>
              <w:end w:w="110" w:type="dxa"/>
            </w:tcMar>
            <w:shd w:fill="F3F6F8"/>
          </w:tcPr>
          <w:p>
            <w:pPr>
              <w:spacing w:after="0"/>
            </w:pPr>
            <w:r>
              <w:rPr>
                <w:rFonts w:ascii="Aptos" w:hAnsi="Aptos"/>
                <w:b w:val="0"/>
                <w:color w:val="24313B"/>
                <w:sz w:val="17"/>
              </w:rPr>
              <w:t>To know whether the price is current and who confirmed it.</w:t>
            </w:r>
          </w:p>
        </w:tc>
      </w:tr>
      <w:tr>
        <w:tc>
          <w:tcPr>
            <w:tcW w:type="dxa" w:w="5112"/>
            <w:vAlign w:val="center"/>
            <w:tcMar>
              <w:top w:w="90" w:type="dxa"/>
              <w:start w:w="110" w:type="dxa"/>
              <w:bottom w:w="90" w:type="dxa"/>
              <w:end w:w="110" w:type="dxa"/>
            </w:tcMar>
          </w:tcPr>
          <w:p>
            <w:pPr>
              <w:spacing w:after="0"/>
            </w:pPr>
            <w:r>
              <w:rPr>
                <w:rFonts w:ascii="Aptos" w:hAnsi="Aptos"/>
                <w:b w:val="0"/>
                <w:color w:val="24313B"/>
                <w:sz w:val="17"/>
              </w:rPr>
              <w:t>Fixed / depends on occupancy / seasonal</w:t>
            </w:r>
          </w:p>
        </w:tc>
        <w:tc>
          <w:tcPr>
            <w:tcW w:type="dxa" w:w="5328"/>
            <w:vAlign w:val="center"/>
            <w:tcMar>
              <w:top w:w="90" w:type="dxa"/>
              <w:start w:w="110" w:type="dxa"/>
              <w:bottom w:w="90" w:type="dxa"/>
              <w:end w:w="110" w:type="dxa"/>
            </w:tcMar>
          </w:tcPr>
          <w:p>
            <w:pPr>
              <w:spacing w:after="0"/>
            </w:pPr>
            <w:r>
              <w:rPr>
                <w:rFonts w:ascii="Aptos" w:hAnsi="Aptos"/>
                <w:b w:val="0"/>
                <w:color w:val="24313B"/>
                <w:sz w:val="17"/>
              </w:rPr>
              <w:t>To understand what can be changed in a weak month.</w:t>
            </w:r>
          </w:p>
        </w:tc>
      </w:tr>
      <w:tr>
        <w:tc>
          <w:tcPr>
            <w:tcW w:type="dxa" w:w="5112"/>
            <w:vAlign w:val="center"/>
            <w:tcMar>
              <w:top w:w="90" w:type="dxa"/>
              <w:start w:w="110" w:type="dxa"/>
              <w:bottom w:w="90" w:type="dxa"/>
              <w:end w:w="110" w:type="dxa"/>
            </w:tcMar>
            <w:shd w:fill="F3F6F8"/>
          </w:tcPr>
          <w:p>
            <w:pPr>
              <w:spacing w:after="0"/>
            </w:pPr>
            <w:r>
              <w:rPr>
                <w:rFonts w:ascii="Aptos" w:hAnsi="Aptos"/>
                <w:b w:val="0"/>
                <w:color w:val="24313B"/>
                <w:sz w:val="17"/>
              </w:rPr>
              <w:t>VAT included or not; whether it can be reclaimed</w:t>
            </w:r>
          </w:p>
        </w:tc>
        <w:tc>
          <w:tcPr>
            <w:tcW w:type="dxa" w:w="5328"/>
            <w:vAlign w:val="center"/>
            <w:tcMar>
              <w:top w:w="90" w:type="dxa"/>
              <w:start w:w="110" w:type="dxa"/>
              <w:bottom w:w="90" w:type="dxa"/>
              <w:end w:w="110" w:type="dxa"/>
            </w:tcMar>
            <w:shd w:fill="F3F6F8"/>
          </w:tcPr>
          <w:p>
            <w:pPr>
              <w:spacing w:after="0"/>
            </w:pPr>
            <w:r>
              <w:rPr>
                <w:rFonts w:ascii="Aptos" w:hAnsi="Aptos"/>
                <w:b w:val="0"/>
                <w:color w:val="24313B"/>
                <w:sz w:val="17"/>
              </w:rPr>
              <w:t>So you do not over- or understate costs and the cash balance.</w:t>
            </w:r>
          </w:p>
        </w:tc>
      </w:tr>
      <w:tr>
        <w:tc>
          <w:tcPr>
            <w:tcW w:type="dxa" w:w="5112"/>
            <w:vAlign w:val="center"/>
            <w:tcMar>
              <w:top w:w="90" w:type="dxa"/>
              <w:start w:w="110" w:type="dxa"/>
              <w:bottom w:w="90" w:type="dxa"/>
              <w:end w:w="110" w:type="dxa"/>
            </w:tcMar>
          </w:tcPr>
          <w:p>
            <w:pPr>
              <w:spacing w:after="0"/>
            </w:pPr>
            <w:r>
              <w:rPr>
                <w:rFonts w:ascii="Aptos" w:hAnsi="Aptos"/>
                <w:b w:val="0"/>
                <w:color w:val="24313B"/>
                <w:sz w:val="17"/>
              </w:rPr>
              <w:t>What may have been forgotten</w:t>
            </w:r>
          </w:p>
        </w:tc>
        <w:tc>
          <w:tcPr>
            <w:tcW w:type="dxa" w:w="5328"/>
            <w:vAlign w:val="center"/>
            <w:tcMar>
              <w:top w:w="90" w:type="dxa"/>
              <w:start w:w="110" w:type="dxa"/>
              <w:bottom w:w="90" w:type="dxa"/>
              <w:end w:w="110" w:type="dxa"/>
            </w:tcMar>
          </w:tcPr>
          <w:p>
            <w:pPr>
              <w:spacing w:after="0"/>
            </w:pPr>
            <w:r>
              <w:rPr>
                <w:rFonts w:ascii="Aptos" w:hAnsi="Aptos"/>
                <w:b w:val="0"/>
                <w:color w:val="24313B"/>
                <w:sz w:val="17"/>
              </w:rPr>
              <w:t>Commission, delivery, installation, servicing, replacement, write-offs, late payment.</w:t>
            </w:r>
          </w:p>
        </w:tc>
      </w:tr>
    </w:tbl>
    <w:p>
      <w:r>
        <w:t>After the detailed list show the reserve as a separate line. For an early estimate test +20–30% on unconfirmed costs and a harsh stress case of up to +50% if there are many unknowns. This is not a mandatory standard mark-up: it is better to refine the estimates, and the reserve should not be mixed with actual costs or counted twice.</w:t>
      </w:r>
    </w:p>
    <w:p>
      <w:pPr>
        <w:pStyle w:val="Heading2"/>
      </w:pPr>
      <w:r>
        <w:t>6.1. Seasonality and staff schedule (if relevant)</w:t>
      </w:r>
    </w:p>
    <w:p>
      <w:pPr/>
      <w:r>
        <w:t>First mark the months when there really are more or fewer guests and more or less work, based on district statistics, competitor prices and your own bookings if you have them. Then for each function — housekeeping, reception, breakfast, maintenance — decide how many people and shifts are needed in a normal month and in a peak month. Record the permanent payroll separately from the additional seasonal shifts/staff only; put recruitment and training in the month when they are paid. Compare three options: keep a permanent team all year round, hire extra staff for the peak, or combine both. Include the cost of recruitment, training and — where applicable — housing or transport. Confirm the full cost of labour and mandatory contributions with a Georgian accountant; do not assume an unverified percentage. For example, at a ski resort the peak may be in winter, while for a beach property in Batumi or Kobuleti it is in summer. A city business hotel may have little seasonality: do not add seasonal costs just because the field exists in the template.</w:t>
      </w:r>
    </w:p>
    <w:p>
      <w:pPr/>
      <w:r>
        <w:t>In the P&amp;L fill in the seasonal payroll only as the amount on top of permanent salaries and only in the relevant months. If no extra people are needed, leave zeros. Do not include the same employees twice, in both the permanent and the seasonal payroll.</w:t>
      </w:r>
    </w:p>
    <w:p>
      <w:pPr>
        <w:pStyle w:val="Heading1"/>
      </w:pPr>
      <w:r>
        <w:t>7. P&amp;L, taxes and cash in the bank</w:t>
      </w:r>
    </w:p>
    <w:p>
      <w:r>
        <w:t>Plan the P&amp;L (profit and loss statement) month by month. It should include revenue, channel commissions, salaries, utilities, housekeeping and linen, food and write-offs, maintenance, marketing, communications and other regular costs. After opening, compare plan with actual and find out the reasons for deviations.</w:t>
      </w:r>
    </w:p>
    <w:p>
      <w:r>
        <w:t>Do not mix the P&amp;L with cash flow. Capital purchases, loan principal, supplier payment terms and the account balance are tracked separately. VAT in Georgia is 18%, but it cannot simply be added as a cost: a registered payer calculates output VAT and the allowable input VAT credit; at the same time payment deadlines can create a cash need. The general threshold for mandatory registration depends on taxable turnover over 12 consecutive months. Corporate profit tax and the taxation of payments to the owner/dividends depend on the business form and the specific transaction. Before deciding, ask a Georgian accountant to show you the after-tax model for your specific structure.</w:t>
      </w:r>
    </w:p>
    <w:p>
      <w:r>
        <w:t>An investor cares about more than the pre-tax P&amp;L. Show separately the tax estimate, debt payments, major repairs, the working capital need and the amount that actually remains for the owner. Do not automatically deduct 18% VAT or a notional “20% on withdrawal” without checking whether they apply and what the calculation base is.</w:t>
      </w:r>
    </w:p>
    <w:p>
      <w:pPr>
        <w:pStyle w:val="Heading1"/>
      </w:pPr>
      <w:r>
        <w:t>8. How to use the detailed template</w:t>
      </w:r>
    </w:p>
    <w:p>
      <w:pPr>
        <w:pStyle w:val="ListBullet"/>
        <w:spacing w:after="40"/>
      </w:pPr>
      <w:r>
        <w:rPr>
          <w:rFonts w:ascii="Aptos" w:hAnsi="Aptos"/>
          <w:b w:val="0"/>
          <w:color w:val="24313B"/>
          <w:sz w:val="19"/>
        </w:rPr>
        <w:t>Fill in the concept and the guests before choosing a rate.</w:t>
      </w:r>
    </w:p>
    <w:p>
      <w:pPr>
        <w:pStyle w:val="ListBullet"/>
        <w:spacing w:after="40"/>
      </w:pPr>
      <w:r>
        <w:rPr>
          <w:rFonts w:ascii="Aptos" w:hAnsi="Aptos"/>
          <w:b w:val="0"/>
          <w:color w:val="24313B"/>
          <w:sz w:val="19"/>
        </w:rPr>
        <w:t>Confirm demand with simple sources and keep links, dates, screenshots and replies.</w:t>
      </w:r>
    </w:p>
    <w:p>
      <w:pPr>
        <w:pStyle w:val="ListBullet"/>
        <w:spacing w:after="40"/>
      </w:pPr>
      <w:r>
        <w:rPr>
          <w:rFonts w:ascii="Aptos" w:hAnsi="Aptos"/>
          <w:b w:val="0"/>
          <w:color w:val="24313B"/>
          <w:sz w:val="19"/>
        </w:rPr>
        <w:t>For the budget, collect commercial quotes first; mark the unknown separately.</w:t>
      </w:r>
    </w:p>
    <w:p>
      <w:pPr>
        <w:pStyle w:val="ListBullet"/>
        <w:spacing w:after="40"/>
      </w:pPr>
      <w:r>
        <w:rPr>
          <w:rFonts w:ascii="Aptos" w:hAnsi="Aptos"/>
          <w:b w:val="0"/>
          <w:color w:val="24313B"/>
          <w:sz w:val="19"/>
        </w:rPr>
        <w:t>Build a sales plan and a monthly P&amp;L, not just an annual total.</w:t>
      </w:r>
    </w:p>
    <w:p>
      <w:pPr>
        <w:pStyle w:val="ListBullet"/>
        <w:spacing w:after="40"/>
      </w:pPr>
      <w:r>
        <w:rPr>
          <w:rFonts w:ascii="Aptos" w:hAnsi="Aptos"/>
          <w:b w:val="0"/>
          <w:color w:val="24313B"/>
          <w:sz w:val="19"/>
        </w:rPr>
        <w:t>Test the cautious scenario and the cash reserve in the bank.</w:t>
      </w:r>
    </w:p>
    <w:p>
      <w:pPr>
        <w:pStyle w:val="ListBullet"/>
        <w:spacing w:after="40"/>
      </w:pPr>
      <w:r>
        <w:rPr>
          <w:rFonts w:ascii="Aptos" w:hAnsi="Aptos"/>
          <w:b w:val="0"/>
          <w:color w:val="24313B"/>
          <w:sz w:val="19"/>
        </w:rPr>
        <w:t>Before purchase, permits and major payments, have specialists check the property’s title and permitted use, technical condition and taxes.</w:t>
      </w:r>
    </w:p>
    <w:p>
      <w:pPr>
        <w:pStyle w:val="Heading1"/>
      </w:pPr>
      <w:r>
        <w:t>Sources and important caveats</w:t>
      </w:r>
    </w:p>
    <w:p>
      <w:r>
        <w:t>Regional data: Geostat Tourism Statistics Portal, https://tourism.geostat.ge/hotels/HDefaultIndicators; Geostat tourism section, https://www.geostat.ge/en/modules/categories/658/tourism-statistics. Check tax and VAT rules against the current edition of the Tax Code of Georgia on matsne.gov.ge and with an accountant. Exact rates, demand, commissions and the cost of the property for your project must be collected separately; this guide does not establish them for you.</w:t>
      </w:r>
    </w:p>
    <w:sectPr w:rsidR="00FC693F" w:rsidRPr="0006063C" w:rsidSect="00034616">
      <w:footerReference w:type="default" r:id="rId9"/>
      <w:headerReference w:type="default" r:id="rId10"/>
      <w:pgSz w:w="11909" w:h="16834"/>
      <w:pgMar w:top="936"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85860"/>
        <w:sz w:val="16"/>
      </w:rPr>
      <w:t>hotelcafe.ge  •  Feel free to adapt this template  •  Spotted an error? Tell us on the website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244150"/>
        <w:sz w:val="16"/>
      </w:rPr>
      <w:t>HOTELCAFE.GE  |  Free practical resources for hoteliers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431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Aptos Display" w:hAnsi="Aptos Display"/>
      <w:b/>
      <w:bCs/>
      <w:color w:val="20384D"/>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ptos" w:hAnsi="Aptos"/>
      <w:b/>
      <w:bCs/>
      <w:color w:val="2F766F"/>
      <w:sz w:val="22"/>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Aptos" w:hAnsi="Aptos"/>
      <w:b/>
      <w:bCs/>
      <w:color w:val="20384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240"/>
      <w:contextualSpacing/>
    </w:pPr>
    <w:rPr>
      <w:rFonts w:asciiTheme="majorHAnsi" w:eastAsiaTheme="majorEastAsia" w:hAnsiTheme="majorHAnsi" w:cstheme="majorBidi" w:ascii="Aptos Display" w:hAnsi="Aptos Display"/>
      <w:b/>
      <w:color w:val="20384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